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57" w:rsidRDefault="00246857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>
        <w:rPr>
          <w:rFonts w:cs="Times New Roman"/>
          <w:spacing w:val="-6"/>
          <w:kern w:val="0"/>
          <w:sz w:val="28"/>
          <w:szCs w:val="28"/>
        </w:rPr>
        <w:t>Доклад. Картельный сговор на торгах</w:t>
      </w:r>
    </w:p>
    <w:p w:rsidR="00246857" w:rsidRDefault="00246857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</w:p>
    <w:p w:rsidR="001325D4" w:rsidRDefault="001325D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>
        <w:rPr>
          <w:rFonts w:cs="Times New Roman"/>
          <w:spacing w:val="-6"/>
          <w:kern w:val="0"/>
          <w:sz w:val="28"/>
          <w:szCs w:val="28"/>
        </w:rPr>
        <w:t>В настоящее время картели являются наиболее опасным нарушением антимонопольного законодательства.</w:t>
      </w:r>
    </w:p>
    <w:p w:rsidR="001325D4" w:rsidRPr="00156B4B" w:rsidRDefault="001325D4" w:rsidP="00132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B">
        <w:rPr>
          <w:rFonts w:ascii="Times New Roman" w:hAnsi="Times New Roman" w:cs="Times New Roman"/>
          <w:sz w:val="28"/>
          <w:szCs w:val="28"/>
        </w:rPr>
        <w:t>Антиконкурентное</w:t>
      </w:r>
      <w:proofErr w:type="spellEnd"/>
      <w:r w:rsidRPr="00156B4B">
        <w:rPr>
          <w:rFonts w:ascii="Times New Roman" w:hAnsi="Times New Roman" w:cs="Times New Roman"/>
          <w:sz w:val="28"/>
          <w:szCs w:val="28"/>
        </w:rPr>
        <w:t xml:space="preserve"> соглашение – это мощный ограничитель рыночной конкуренции, то есть «честного соревнования» хозяйствующих субъектов за наиболее полное удовлетворение потребностей общества и граждан.</w:t>
      </w:r>
    </w:p>
    <w:p w:rsidR="001325D4" w:rsidRPr="00156B4B" w:rsidRDefault="001325D4" w:rsidP="001325D4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Вступив в такие соглашения, формально независимые компании уподобляются монополиям, отказываясь от индивидуального поведения на рынке и соперничества с конкурентами.</w:t>
      </w:r>
    </w:p>
    <w:p w:rsidR="00BD6509" w:rsidRPr="00156B4B" w:rsidRDefault="00BD6509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В пункте 18 статьи 4 Федерального закона от 26.07.2016 № 135-ФЗ «О защите конкуренции» дано определение соглашению.</w:t>
      </w:r>
    </w:p>
    <w:p w:rsidR="00BD6509" w:rsidRPr="00156B4B" w:rsidRDefault="00BD6509" w:rsidP="00BD6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D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6B4B">
        <w:rPr>
          <w:rFonts w:ascii="Times New Roman" w:hAnsi="Times New Roman" w:cs="Times New Roman"/>
          <w:sz w:val="28"/>
          <w:szCs w:val="28"/>
        </w:rPr>
        <w:t>-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567BB4" w:rsidRDefault="00567BB4" w:rsidP="00567B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>Запрет на ограничивающие конкуренцию соглашения хозяйствующих субъектов установлен статьей 11 Закона о защите конкуренции.</w:t>
      </w:r>
    </w:p>
    <w:p w:rsidR="00156B4B" w:rsidRDefault="00156B4B" w:rsidP="00567B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ограничения конкуренции являются: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 xml:space="preserve">Сокращение числа хозяйствующих субъектов, не входящих в одну группу лиц, на товарном рынке; 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 xml:space="preserve">Рост или снижение цены товара не связанные с соответствующими изменениями иных общих условий обращения товара на товарном рынке; 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>Отказ хозяйствующих субъектов, не входящих в одну группу лиц, от самостоятельных действий на товарном рынке;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 xml:space="preserve">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рынке; 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 xml:space="preserve">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рынке; </w:t>
      </w:r>
    </w:p>
    <w:p w:rsidR="00156B4B" w:rsidRPr="00156B4B" w:rsidRDefault="00156B4B" w:rsidP="00156B4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B4B">
        <w:rPr>
          <w:rFonts w:ascii="Times New Roman" w:hAnsi="Times New Roman" w:cs="Times New Roman"/>
          <w:sz w:val="28"/>
          <w:szCs w:val="28"/>
        </w:rPr>
        <w:t xml:space="preserve">Установление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 </w:t>
      </w:r>
    </w:p>
    <w:p w:rsidR="00261C00" w:rsidRPr="00156B4B" w:rsidRDefault="00261C00" w:rsidP="00261C00">
      <w:pPr>
        <w:pStyle w:val="1"/>
        <w:ind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t xml:space="preserve">Общественная опасность </w:t>
      </w:r>
      <w:proofErr w:type="spellStart"/>
      <w:r w:rsidRPr="00156B4B">
        <w:rPr>
          <w:rFonts w:cs="Times New Roman"/>
          <w:spacing w:val="-6"/>
          <w:sz w:val="28"/>
          <w:szCs w:val="28"/>
        </w:rPr>
        <w:t>антиконкурентных</w:t>
      </w:r>
      <w:proofErr w:type="spellEnd"/>
      <w:r w:rsidRPr="00156B4B">
        <w:rPr>
          <w:rFonts w:cs="Times New Roman"/>
          <w:spacing w:val="-6"/>
          <w:sz w:val="28"/>
          <w:szCs w:val="28"/>
        </w:rPr>
        <w:t xml:space="preserve"> соглашений состоит в ограничении конкуренции путём заключения незаконных соглашений, направленных на ущемление интересов потребителей и извлечение несправедливых сверхприбылей.</w:t>
      </w:r>
    </w:p>
    <w:p w:rsidR="00261C00" w:rsidRPr="00156B4B" w:rsidRDefault="00261C00" w:rsidP="00261C00">
      <w:pPr>
        <w:pStyle w:val="1"/>
        <w:ind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t xml:space="preserve">Последствия существования </w:t>
      </w:r>
      <w:proofErr w:type="spellStart"/>
      <w:r w:rsidRPr="00156B4B">
        <w:rPr>
          <w:rFonts w:cs="Times New Roman"/>
          <w:spacing w:val="-6"/>
          <w:sz w:val="28"/>
          <w:szCs w:val="28"/>
        </w:rPr>
        <w:t>антиконкурентных</w:t>
      </w:r>
      <w:proofErr w:type="spellEnd"/>
      <w:r w:rsidRPr="00156B4B">
        <w:rPr>
          <w:rFonts w:cs="Times New Roman"/>
          <w:spacing w:val="-6"/>
          <w:sz w:val="28"/>
          <w:szCs w:val="28"/>
        </w:rPr>
        <w:t xml:space="preserve"> соглашений:</w:t>
      </w:r>
    </w:p>
    <w:p w:rsidR="00261C00" w:rsidRPr="00156B4B" w:rsidRDefault="00261C00" w:rsidP="00261C00">
      <w:pPr>
        <w:pStyle w:val="1"/>
        <w:numPr>
          <w:ilvl w:val="0"/>
          <w:numId w:val="2"/>
        </w:numPr>
        <w:ind w:left="0"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t>Искусственный рост цен;</w:t>
      </w:r>
    </w:p>
    <w:p w:rsidR="00261C00" w:rsidRPr="00156B4B" w:rsidRDefault="00261C00" w:rsidP="00261C00">
      <w:pPr>
        <w:pStyle w:val="1"/>
        <w:numPr>
          <w:ilvl w:val="0"/>
          <w:numId w:val="2"/>
        </w:numPr>
        <w:ind w:left="0"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t>Отсутствие новых, более качественных товаров, меньший выбор товаров;</w:t>
      </w:r>
    </w:p>
    <w:p w:rsidR="00261C00" w:rsidRPr="00156B4B" w:rsidRDefault="00261C00" w:rsidP="00261C00">
      <w:pPr>
        <w:pStyle w:val="1"/>
        <w:numPr>
          <w:ilvl w:val="0"/>
          <w:numId w:val="2"/>
        </w:numPr>
        <w:ind w:left="0"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lastRenderedPageBreak/>
        <w:t>Отсутствие у хозяйствующих субъектов мотивов для развития, инноваций, повышения эффективности;</w:t>
      </w:r>
    </w:p>
    <w:p w:rsidR="00261C00" w:rsidRPr="00156B4B" w:rsidRDefault="00261C00" w:rsidP="00261C00">
      <w:pPr>
        <w:pStyle w:val="1"/>
        <w:numPr>
          <w:ilvl w:val="0"/>
          <w:numId w:val="2"/>
        </w:numPr>
        <w:ind w:left="0" w:firstLine="567"/>
        <w:jc w:val="both"/>
        <w:rPr>
          <w:rFonts w:cs="Times New Roman"/>
          <w:spacing w:val="-6"/>
          <w:sz w:val="28"/>
          <w:szCs w:val="28"/>
        </w:rPr>
      </w:pPr>
      <w:r w:rsidRPr="00156B4B">
        <w:rPr>
          <w:rFonts w:cs="Times New Roman"/>
          <w:spacing w:val="-6"/>
          <w:sz w:val="28"/>
          <w:szCs w:val="28"/>
        </w:rPr>
        <w:t>Недопущение на рынок новых игроков, стагнация рынка.</w:t>
      </w:r>
    </w:p>
    <w:p w:rsidR="00FF6974" w:rsidRPr="00156B4B" w:rsidRDefault="00261C00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 xml:space="preserve">За заключение ограничивающего конкуренцию соглашения или осуществление ограничивающих конкуренцию согласованных действий предусмотрена административная ответственность, при этом меры административной ответственности </w:t>
      </w:r>
      <w:r w:rsidR="00FF6974" w:rsidRPr="00156B4B">
        <w:rPr>
          <w:rFonts w:cs="Times New Roman"/>
          <w:spacing w:val="-6"/>
          <w:kern w:val="0"/>
          <w:sz w:val="28"/>
          <w:szCs w:val="28"/>
        </w:rPr>
        <w:t xml:space="preserve">законодателем установлены жесткие. </w:t>
      </w:r>
    </w:p>
    <w:p w:rsidR="00FF6974" w:rsidRPr="00156B4B" w:rsidRDefault="00FF697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 xml:space="preserve">Это оборотные штрафы, которые рассчитываются от суммы выручки правонарушителя от реализации товара, либо от суммы расходов правонарушителя на приобретение товара. </w:t>
      </w:r>
    </w:p>
    <w:p w:rsidR="00BD6509" w:rsidRPr="00156B4B" w:rsidRDefault="00FF697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При сговоре на торгах, когда соглашение привело к повышению, снижению или поддержанию цен на торгах штрафы исчисляются исходя их начальной стоимости предмета торгов.</w:t>
      </w:r>
    </w:p>
    <w:p w:rsidR="00FF6974" w:rsidRPr="00156B4B" w:rsidRDefault="00FF697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 xml:space="preserve">При этом надо отметить, что лицо, добровольное заявившее в антимонопольный орган о заключении им недопустимого в соответствии с антимонопольным законодательством соглашения </w:t>
      </w:r>
      <w:r w:rsidR="00DA3D8C" w:rsidRPr="00156B4B">
        <w:rPr>
          <w:rFonts w:cs="Times New Roman"/>
          <w:spacing w:val="-6"/>
          <w:kern w:val="0"/>
          <w:sz w:val="28"/>
          <w:szCs w:val="28"/>
        </w:rPr>
        <w:t xml:space="preserve">либо </w:t>
      </w:r>
      <w:proofErr w:type="gramStart"/>
      <w:r w:rsidR="00DA3D8C" w:rsidRPr="00156B4B">
        <w:rPr>
          <w:rFonts w:cs="Times New Roman"/>
          <w:spacing w:val="-6"/>
          <w:kern w:val="0"/>
          <w:sz w:val="28"/>
          <w:szCs w:val="28"/>
        </w:rPr>
        <w:t>о</w:t>
      </w:r>
      <w:proofErr w:type="gramEnd"/>
      <w:r w:rsidR="00DA3D8C" w:rsidRPr="00156B4B">
        <w:rPr>
          <w:rFonts w:cs="Times New Roman"/>
          <w:spacing w:val="-6"/>
          <w:kern w:val="0"/>
          <w:sz w:val="28"/>
          <w:szCs w:val="28"/>
        </w:rPr>
        <w:t xml:space="preserve"> недопустимых согласованных действий освобождается от административной ответственности.</w:t>
      </w:r>
    </w:p>
    <w:p w:rsidR="00DA3D8C" w:rsidRPr="00156B4B" w:rsidRDefault="00DA3D8C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 xml:space="preserve">За период 2016 – 2017 г.г. Кемеровским УФАС России было возбуждено 2 дела </w:t>
      </w:r>
      <w:r w:rsidR="001325D4">
        <w:rPr>
          <w:rFonts w:cs="Times New Roman"/>
          <w:spacing w:val="-6"/>
          <w:kern w:val="0"/>
          <w:sz w:val="28"/>
          <w:szCs w:val="28"/>
        </w:rPr>
        <w:t>по признакам</w:t>
      </w:r>
      <w:r w:rsidR="00590630">
        <w:rPr>
          <w:rFonts w:cs="Times New Roman"/>
          <w:spacing w:val="-6"/>
          <w:kern w:val="0"/>
          <w:sz w:val="28"/>
          <w:szCs w:val="28"/>
        </w:rPr>
        <w:t xml:space="preserve"> нарушения</w:t>
      </w:r>
      <w:r w:rsidRPr="00156B4B">
        <w:rPr>
          <w:rFonts w:cs="Times New Roman"/>
          <w:spacing w:val="-6"/>
          <w:kern w:val="0"/>
          <w:sz w:val="28"/>
          <w:szCs w:val="28"/>
        </w:rPr>
        <w:t xml:space="preserve"> статьи 11 Закона о защите конкуренции. Это сговор на торгах и заключение соглашение между двумя хозяйствующими субъектами, которое привело к ограничению конкуренции на товарном рынке.</w:t>
      </w:r>
    </w:p>
    <w:p w:rsidR="00DA3D8C" w:rsidRDefault="00DA3D8C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Более подробно остановимся на деле, касающ</w:t>
      </w:r>
      <w:r w:rsidR="001325D4">
        <w:rPr>
          <w:rFonts w:cs="Times New Roman"/>
          <w:spacing w:val="-6"/>
          <w:kern w:val="0"/>
          <w:sz w:val="28"/>
          <w:szCs w:val="28"/>
        </w:rPr>
        <w:t>е</w:t>
      </w:r>
      <w:r w:rsidRPr="00156B4B">
        <w:rPr>
          <w:rFonts w:cs="Times New Roman"/>
          <w:spacing w:val="-6"/>
          <w:kern w:val="0"/>
          <w:sz w:val="28"/>
          <w:szCs w:val="28"/>
        </w:rPr>
        <w:t xml:space="preserve">мся сговора на торгах. Сговор на торгах является наиболее часто встречающимся нарушением. </w:t>
      </w:r>
    </w:p>
    <w:p w:rsidR="001325D4" w:rsidRPr="00156B4B" w:rsidRDefault="001325D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>
        <w:rPr>
          <w:rFonts w:cs="Times New Roman"/>
          <w:spacing w:val="-6"/>
          <w:kern w:val="0"/>
          <w:sz w:val="28"/>
          <w:szCs w:val="28"/>
        </w:rPr>
        <w:t>Из общего количества дел</w:t>
      </w:r>
      <w:r w:rsidR="00EC52E5">
        <w:rPr>
          <w:rFonts w:cs="Times New Roman"/>
          <w:spacing w:val="-6"/>
          <w:kern w:val="0"/>
          <w:sz w:val="28"/>
          <w:szCs w:val="28"/>
        </w:rPr>
        <w:t xml:space="preserve"> (416), возбужденных в 2016 г. ФАС России и территориальными органами по статье 11 Закона о защите конкуренции,  по сговору на торгах было возбуждено </w:t>
      </w:r>
      <w:r w:rsidR="00590630">
        <w:rPr>
          <w:rFonts w:cs="Times New Roman"/>
          <w:spacing w:val="-6"/>
          <w:kern w:val="0"/>
          <w:sz w:val="28"/>
          <w:szCs w:val="28"/>
        </w:rPr>
        <w:t>2/3 всех дел</w:t>
      </w:r>
      <w:r w:rsidR="00EC52E5">
        <w:rPr>
          <w:rFonts w:cs="Times New Roman"/>
          <w:spacing w:val="-6"/>
          <w:kern w:val="0"/>
          <w:sz w:val="28"/>
          <w:szCs w:val="28"/>
        </w:rPr>
        <w:t>.</w:t>
      </w:r>
    </w:p>
    <w:p w:rsidR="00FF6974" w:rsidRPr="00156B4B" w:rsidRDefault="00FF6974" w:rsidP="0047014A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</w:p>
    <w:p w:rsidR="00710E35" w:rsidRPr="00156B4B" w:rsidRDefault="00BF1769" w:rsidP="0047014A">
      <w:pPr>
        <w:pStyle w:val="1"/>
        <w:ind w:firstLine="567"/>
        <w:jc w:val="both"/>
        <w:rPr>
          <w:rFonts w:cs="Times New Roman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Кемеровским УФАС России был выявлен сговор</w:t>
      </w:r>
      <w:r w:rsidR="0094003E">
        <w:rPr>
          <w:rFonts w:cs="Times New Roman"/>
          <w:spacing w:val="-6"/>
          <w:kern w:val="0"/>
          <w:sz w:val="28"/>
          <w:szCs w:val="28"/>
        </w:rPr>
        <w:t xml:space="preserve"> на</w:t>
      </w:r>
      <w:r w:rsidRPr="00156B4B">
        <w:rPr>
          <w:rFonts w:cs="Times New Roman"/>
          <w:spacing w:val="-6"/>
          <w:kern w:val="0"/>
          <w:sz w:val="28"/>
          <w:szCs w:val="28"/>
        </w:rPr>
        <w:t xml:space="preserve"> </w:t>
      </w:r>
      <w:r w:rsidRPr="00156B4B">
        <w:rPr>
          <w:rFonts w:cs="Times New Roman"/>
          <w:sz w:val="28"/>
          <w:szCs w:val="28"/>
        </w:rPr>
        <w:t>торгах по закупкам лекарств.</w:t>
      </w:r>
      <w:r w:rsidR="0047014A" w:rsidRPr="00156B4B">
        <w:rPr>
          <w:rFonts w:cs="Times New Roman"/>
          <w:sz w:val="28"/>
          <w:szCs w:val="28"/>
        </w:rPr>
        <w:t xml:space="preserve"> ООО «ФАРГО» и АО «</w:t>
      </w:r>
      <w:proofErr w:type="spellStart"/>
      <w:r w:rsidR="0047014A" w:rsidRPr="00156B4B">
        <w:rPr>
          <w:rFonts w:cs="Times New Roman"/>
          <w:sz w:val="28"/>
          <w:szCs w:val="28"/>
        </w:rPr>
        <w:t>Фармакон</w:t>
      </w:r>
      <w:proofErr w:type="spellEnd"/>
      <w:r w:rsidR="0047014A" w:rsidRPr="00156B4B">
        <w:rPr>
          <w:rFonts w:cs="Times New Roman"/>
          <w:sz w:val="28"/>
          <w:szCs w:val="28"/>
        </w:rPr>
        <w:t>» нарушили пункт 2 части 1 статьи 11 Закона о защите конкуренции.</w:t>
      </w:r>
    </w:p>
    <w:p w:rsidR="0047014A" w:rsidRPr="00156B4B" w:rsidRDefault="00815710" w:rsidP="0047014A">
      <w:pPr>
        <w:pStyle w:val="a8"/>
        <w:spacing w:after="0"/>
        <w:ind w:firstLine="567"/>
        <w:jc w:val="both"/>
        <w:rPr>
          <w:rStyle w:val="10"/>
          <w:sz w:val="28"/>
          <w:szCs w:val="28"/>
        </w:rPr>
      </w:pPr>
      <w:r w:rsidRPr="00156B4B">
        <w:rPr>
          <w:sz w:val="28"/>
          <w:szCs w:val="28"/>
        </w:rPr>
        <w:t>В соответствии с пунктом 2 части 1 статьи 11Закона о защите конкуренции</w:t>
      </w:r>
      <w:r w:rsidRPr="00156B4B">
        <w:rPr>
          <w:rStyle w:val="10"/>
          <w:sz w:val="28"/>
          <w:szCs w:val="28"/>
        </w:rPr>
        <w:t xml:space="preserve"> запрещаются соглашения между хозяйствующими субъектами-конкурентами, если такие соглашения приводят или могут привести к повышению, снижению или поддержанию цен на торгах.</w:t>
      </w:r>
      <w:r w:rsidR="00156B4B" w:rsidRPr="00156B4B">
        <w:rPr>
          <w:rStyle w:val="10"/>
          <w:sz w:val="28"/>
          <w:szCs w:val="28"/>
        </w:rPr>
        <w:t xml:space="preserve"> </w:t>
      </w:r>
      <w:r w:rsidRPr="00156B4B">
        <w:rPr>
          <w:rStyle w:val="10"/>
          <w:sz w:val="28"/>
          <w:szCs w:val="28"/>
        </w:rPr>
        <w:t>В данном случае было поддержание цен.</w:t>
      </w:r>
    </w:p>
    <w:p w:rsidR="008B4748" w:rsidRPr="00156B4B" w:rsidRDefault="0047014A" w:rsidP="0047014A">
      <w:pPr>
        <w:pStyle w:val="1"/>
        <w:widowControl/>
        <w:ind w:firstLine="567"/>
        <w:jc w:val="both"/>
        <w:rPr>
          <w:rFonts w:cs="Times New Roman"/>
          <w:kern w:val="0"/>
          <w:sz w:val="28"/>
          <w:szCs w:val="28"/>
        </w:rPr>
      </w:pPr>
      <w:proofErr w:type="gramStart"/>
      <w:r w:rsidRPr="00156B4B">
        <w:rPr>
          <w:rFonts w:cs="Times New Roman"/>
          <w:kern w:val="0"/>
          <w:sz w:val="28"/>
          <w:szCs w:val="28"/>
        </w:rPr>
        <w:t>Специалистами Кемеровского УФАС России было в</w:t>
      </w:r>
      <w:r w:rsidR="00710E35" w:rsidRPr="00156B4B">
        <w:rPr>
          <w:rFonts w:cs="Times New Roman"/>
          <w:kern w:val="0"/>
          <w:sz w:val="28"/>
          <w:szCs w:val="28"/>
        </w:rPr>
        <w:t xml:space="preserve">ыявлено 69 электронных аукционов, проведённых </w:t>
      </w:r>
      <w:r w:rsidR="008B4748" w:rsidRPr="00156B4B">
        <w:rPr>
          <w:rFonts w:cs="Times New Roman"/>
          <w:kern w:val="0"/>
          <w:sz w:val="28"/>
          <w:szCs w:val="28"/>
        </w:rPr>
        <w:t xml:space="preserve">заказчиками </w:t>
      </w:r>
      <w:r w:rsidR="00710E35" w:rsidRPr="00156B4B">
        <w:rPr>
          <w:rFonts w:cs="Times New Roman"/>
          <w:kern w:val="0"/>
          <w:sz w:val="28"/>
          <w:szCs w:val="28"/>
        </w:rPr>
        <w:t>в период с января 2015 г. по февраль 2016 г. в соответствии с требованиями Закона о контрактной системе на поставку лекарственных средств, медикаментов и медицинских изделий, участники которых АО «</w:t>
      </w:r>
      <w:proofErr w:type="spellStart"/>
      <w:r w:rsidR="00710E35" w:rsidRPr="00156B4B">
        <w:rPr>
          <w:rFonts w:cs="Times New Roman"/>
          <w:kern w:val="0"/>
          <w:sz w:val="28"/>
          <w:szCs w:val="28"/>
        </w:rPr>
        <w:t>Фармакон</w:t>
      </w:r>
      <w:proofErr w:type="spellEnd"/>
      <w:r w:rsidR="00710E35" w:rsidRPr="00156B4B">
        <w:rPr>
          <w:rFonts w:cs="Times New Roman"/>
          <w:kern w:val="0"/>
          <w:sz w:val="28"/>
          <w:szCs w:val="28"/>
        </w:rPr>
        <w:t>» (ранее ЗАО «</w:t>
      </w:r>
      <w:proofErr w:type="spellStart"/>
      <w:r w:rsidR="00710E35" w:rsidRPr="00156B4B">
        <w:rPr>
          <w:rFonts w:cs="Times New Roman"/>
          <w:kern w:val="0"/>
          <w:sz w:val="28"/>
          <w:szCs w:val="28"/>
        </w:rPr>
        <w:t>Фармакон</w:t>
      </w:r>
      <w:proofErr w:type="spellEnd"/>
      <w:r w:rsidR="00710E35" w:rsidRPr="00156B4B">
        <w:rPr>
          <w:rFonts w:cs="Times New Roman"/>
          <w:kern w:val="0"/>
          <w:sz w:val="28"/>
          <w:szCs w:val="28"/>
        </w:rPr>
        <w:t xml:space="preserve">») и ООО «ФАРГО» использовали следующую модель поведения: </w:t>
      </w:r>
      <w:proofErr w:type="gramEnd"/>
    </w:p>
    <w:p w:rsidR="00710E35" w:rsidRPr="00156B4B" w:rsidRDefault="00710E35" w:rsidP="008B4748">
      <w:pPr>
        <w:pStyle w:val="1"/>
        <w:widowControl/>
        <w:ind w:firstLine="567"/>
        <w:jc w:val="both"/>
        <w:rPr>
          <w:rFonts w:cs="Times New Roman"/>
          <w:kern w:val="0"/>
          <w:sz w:val="28"/>
          <w:szCs w:val="28"/>
        </w:rPr>
      </w:pPr>
      <w:proofErr w:type="gramStart"/>
      <w:r w:rsidRPr="00156B4B">
        <w:rPr>
          <w:rFonts w:cs="Times New Roman"/>
          <w:kern w:val="0"/>
          <w:sz w:val="28"/>
          <w:szCs w:val="28"/>
        </w:rPr>
        <w:t xml:space="preserve">в случае допуска к участию в аукционе по результатам рассмотрения первых частей заявок обоих участников и при отказе в допуске либо отсутствии других участников, одно из ценовых предложений делал какой-либо из указанных хозяйствующих субъектов, второй снижал цену на 1 % и </w:t>
      </w:r>
      <w:r w:rsidRPr="00156B4B">
        <w:rPr>
          <w:rFonts w:cs="Times New Roman"/>
          <w:kern w:val="0"/>
          <w:sz w:val="28"/>
          <w:szCs w:val="28"/>
        </w:rPr>
        <w:lastRenderedPageBreak/>
        <w:t>становился победителем закупки либо больше не делал ценовых предложений и победителем становился участник, сделавший первое ценовое предложение и снизивший цену</w:t>
      </w:r>
      <w:proofErr w:type="gramEnd"/>
      <w:r w:rsidRPr="00156B4B">
        <w:rPr>
          <w:rFonts w:cs="Times New Roman"/>
          <w:kern w:val="0"/>
          <w:sz w:val="28"/>
          <w:szCs w:val="28"/>
        </w:rPr>
        <w:t xml:space="preserve"> на 0,5 %.</w:t>
      </w:r>
    </w:p>
    <w:p w:rsidR="008B4748" w:rsidRPr="00156B4B" w:rsidRDefault="008B4748" w:rsidP="008B4748">
      <w:pPr>
        <w:pStyle w:val="a6"/>
        <w:rPr>
          <w:spacing w:val="-2"/>
          <w:szCs w:val="28"/>
        </w:rPr>
      </w:pPr>
      <w:proofErr w:type="gramStart"/>
      <w:r w:rsidRPr="00156B4B">
        <w:rPr>
          <w:szCs w:val="28"/>
        </w:rPr>
        <w:t xml:space="preserve">Надо отметить, что </w:t>
      </w:r>
      <w:r w:rsidRPr="00156B4B">
        <w:rPr>
          <w:spacing w:val="-2"/>
          <w:szCs w:val="28"/>
        </w:rPr>
        <w:t xml:space="preserve">на электронных аукционах на поставку </w:t>
      </w:r>
      <w:r w:rsidRPr="00156B4B">
        <w:rPr>
          <w:spacing w:val="-6"/>
          <w:szCs w:val="28"/>
        </w:rPr>
        <w:t>лекарственных средств (медикаментов, медицинских изделий)</w:t>
      </w:r>
      <w:r w:rsidRPr="00156B4B">
        <w:rPr>
          <w:spacing w:val="-2"/>
          <w:szCs w:val="28"/>
        </w:rPr>
        <w:t>, в которых принимали участие иные хозяйствующие субъекты, помимо ООО «ФАРГО» и АО «</w:t>
      </w:r>
      <w:proofErr w:type="spellStart"/>
      <w:r w:rsidRPr="00156B4B">
        <w:rPr>
          <w:spacing w:val="-2"/>
          <w:szCs w:val="28"/>
        </w:rPr>
        <w:t>Фармакон</w:t>
      </w:r>
      <w:proofErr w:type="spellEnd"/>
      <w:r w:rsidRPr="00156B4B">
        <w:rPr>
          <w:spacing w:val="-2"/>
          <w:szCs w:val="28"/>
        </w:rPr>
        <w:t>» либо на электронных аукционах, в которых ООО «ФАРГО» и АО «</w:t>
      </w:r>
      <w:proofErr w:type="spellStart"/>
      <w:r w:rsidRPr="00156B4B">
        <w:rPr>
          <w:spacing w:val="-2"/>
          <w:szCs w:val="28"/>
        </w:rPr>
        <w:t>Фармакон</w:t>
      </w:r>
      <w:proofErr w:type="spellEnd"/>
      <w:r w:rsidRPr="00156B4B">
        <w:rPr>
          <w:spacing w:val="-2"/>
          <w:szCs w:val="28"/>
        </w:rPr>
        <w:t>» участвовали отдельно друг от друга, но с наличием иных участников, снижение НМЦ достигало существенных значений, при этом ООО «ФАРГО» и АО «</w:t>
      </w:r>
      <w:proofErr w:type="spellStart"/>
      <w:r w:rsidRPr="00156B4B">
        <w:rPr>
          <w:spacing w:val="-2"/>
          <w:szCs w:val="28"/>
        </w:rPr>
        <w:t>Фармакон</w:t>
      </w:r>
      <w:proofErr w:type="spellEnd"/>
      <w:r w:rsidRPr="00156B4B">
        <w:rPr>
          <w:spacing w:val="-2"/>
          <w:szCs w:val="28"/>
        </w:rPr>
        <w:t>» делали</w:t>
      </w:r>
      <w:proofErr w:type="gramEnd"/>
      <w:r w:rsidRPr="00156B4B">
        <w:rPr>
          <w:spacing w:val="-2"/>
          <w:szCs w:val="28"/>
        </w:rPr>
        <w:t xml:space="preserve"> ценовые предложения значительно снижающие НМЦ.</w:t>
      </w:r>
    </w:p>
    <w:p w:rsidR="00710E35" w:rsidRPr="00156B4B" w:rsidRDefault="0047014A" w:rsidP="00D77543">
      <w:pPr>
        <w:pStyle w:val="a4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156B4B">
        <w:rPr>
          <w:rStyle w:val="2"/>
          <w:color w:val="000000"/>
          <w:spacing w:val="2"/>
          <w:sz w:val="28"/>
          <w:szCs w:val="28"/>
        </w:rPr>
        <w:t>Кроме того, у</w:t>
      </w:r>
      <w:r w:rsidR="00710E35" w:rsidRPr="00156B4B">
        <w:rPr>
          <w:rStyle w:val="2"/>
          <w:color w:val="000000"/>
          <w:spacing w:val="2"/>
          <w:sz w:val="28"/>
          <w:szCs w:val="28"/>
        </w:rPr>
        <w:t>становлено, что з</w:t>
      </w:r>
      <w:r w:rsidR="00710E35" w:rsidRPr="00156B4B">
        <w:rPr>
          <w:spacing w:val="2"/>
          <w:sz w:val="28"/>
          <w:szCs w:val="28"/>
        </w:rPr>
        <w:t>аявки на участие в торгах и ценовые предложения на Аукционах АО «</w:t>
      </w:r>
      <w:proofErr w:type="spellStart"/>
      <w:r w:rsidR="00710E35" w:rsidRPr="00156B4B">
        <w:rPr>
          <w:spacing w:val="2"/>
          <w:sz w:val="28"/>
          <w:szCs w:val="28"/>
        </w:rPr>
        <w:t>Фармакон</w:t>
      </w:r>
      <w:proofErr w:type="spellEnd"/>
      <w:r w:rsidR="00710E35" w:rsidRPr="00156B4B">
        <w:rPr>
          <w:spacing w:val="2"/>
          <w:sz w:val="28"/>
          <w:szCs w:val="28"/>
        </w:rPr>
        <w:t xml:space="preserve">» </w:t>
      </w:r>
      <w:proofErr w:type="gramStart"/>
      <w:r w:rsidR="00710E35" w:rsidRPr="00156B4B">
        <w:rPr>
          <w:spacing w:val="2"/>
          <w:sz w:val="28"/>
          <w:szCs w:val="28"/>
        </w:rPr>
        <w:t>и ООО</w:t>
      </w:r>
      <w:proofErr w:type="gramEnd"/>
      <w:r w:rsidR="00710E35" w:rsidRPr="00156B4B">
        <w:rPr>
          <w:spacing w:val="2"/>
          <w:sz w:val="28"/>
          <w:szCs w:val="28"/>
        </w:rPr>
        <w:t xml:space="preserve"> «ФАРГО» делали с одних </w:t>
      </w:r>
      <w:r w:rsidR="00710E35" w:rsidRPr="00156B4B">
        <w:rPr>
          <w:spacing w:val="2"/>
          <w:sz w:val="28"/>
          <w:szCs w:val="28"/>
          <w:lang w:val="en-US"/>
        </w:rPr>
        <w:t>IP</w:t>
      </w:r>
      <w:r w:rsidR="00710E35" w:rsidRPr="00156B4B">
        <w:rPr>
          <w:spacing w:val="2"/>
          <w:sz w:val="28"/>
          <w:szCs w:val="28"/>
        </w:rPr>
        <w:t xml:space="preserve">-адресов. Данные </w:t>
      </w:r>
      <w:r w:rsidR="00710E35" w:rsidRPr="00156B4B">
        <w:rPr>
          <w:spacing w:val="2"/>
          <w:sz w:val="28"/>
          <w:szCs w:val="28"/>
          <w:lang w:val="en-US"/>
        </w:rPr>
        <w:t>IP</w:t>
      </w:r>
      <w:r w:rsidR="00710E35" w:rsidRPr="00156B4B">
        <w:rPr>
          <w:spacing w:val="2"/>
          <w:sz w:val="28"/>
          <w:szCs w:val="28"/>
        </w:rPr>
        <w:t xml:space="preserve">-адреса использовались также указанными хозяйствующими субъектами при заключении контрактов по результатам электронных аукционов. </w:t>
      </w:r>
    </w:p>
    <w:p w:rsidR="00710E35" w:rsidRPr="00156B4B" w:rsidRDefault="00710E35" w:rsidP="00D77543">
      <w:pPr>
        <w:pStyle w:val="a4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156B4B">
        <w:rPr>
          <w:spacing w:val="-2"/>
          <w:sz w:val="28"/>
          <w:szCs w:val="28"/>
        </w:rPr>
        <w:t xml:space="preserve">Факты осуществления указанных действий при участи в Аукционах с одних </w:t>
      </w:r>
      <w:r w:rsidRPr="00156B4B">
        <w:rPr>
          <w:color w:val="000000"/>
          <w:spacing w:val="-2"/>
          <w:sz w:val="28"/>
          <w:szCs w:val="28"/>
          <w:shd w:val="clear" w:color="auto" w:fill="FFFFFF"/>
          <w:lang w:val="en-US"/>
        </w:rPr>
        <w:t>IP</w:t>
      </w:r>
      <w:r w:rsidRPr="00156B4B">
        <w:rPr>
          <w:color w:val="000000"/>
          <w:spacing w:val="-2"/>
          <w:sz w:val="28"/>
          <w:szCs w:val="28"/>
          <w:shd w:val="clear" w:color="auto" w:fill="FFFFFF"/>
        </w:rPr>
        <w:t>-адресов</w:t>
      </w:r>
      <w:r w:rsidRPr="00156B4B">
        <w:rPr>
          <w:spacing w:val="-2"/>
          <w:sz w:val="28"/>
          <w:szCs w:val="28"/>
        </w:rPr>
        <w:t xml:space="preserve"> указывают на то, что действия по подаче заявок и ценовых предложений на торгах осуществлялись одним лицом, что свидетельствует об отсутствии конкуренции между данными хозяйствующими субъектами при их участии в Аукционах. Наличие единого автора, сформировавшего документы первых частей заявок на участие в электронных аукционах, созданные в виде электронных файлов в формате </w:t>
      </w:r>
      <w:proofErr w:type="spellStart"/>
      <w:r w:rsidRPr="00156B4B">
        <w:rPr>
          <w:spacing w:val="-2"/>
          <w:sz w:val="28"/>
          <w:szCs w:val="28"/>
        </w:rPr>
        <w:t>Microsoft</w:t>
      </w:r>
      <w:proofErr w:type="spellEnd"/>
      <w:r w:rsidRPr="00156B4B">
        <w:rPr>
          <w:spacing w:val="-2"/>
          <w:sz w:val="28"/>
          <w:szCs w:val="28"/>
        </w:rPr>
        <w:t xml:space="preserve"> </w:t>
      </w:r>
      <w:proofErr w:type="spellStart"/>
      <w:r w:rsidRPr="00156B4B">
        <w:rPr>
          <w:spacing w:val="-2"/>
          <w:sz w:val="28"/>
          <w:szCs w:val="28"/>
        </w:rPr>
        <w:t>Word</w:t>
      </w:r>
      <w:proofErr w:type="spellEnd"/>
      <w:r w:rsidRPr="00156B4B">
        <w:rPr>
          <w:spacing w:val="-2"/>
          <w:sz w:val="28"/>
          <w:szCs w:val="28"/>
        </w:rPr>
        <w:t xml:space="preserve"> (.</w:t>
      </w:r>
      <w:proofErr w:type="spellStart"/>
      <w:r w:rsidRPr="00156B4B">
        <w:rPr>
          <w:spacing w:val="-2"/>
          <w:sz w:val="28"/>
          <w:szCs w:val="28"/>
        </w:rPr>
        <w:t>doc</w:t>
      </w:r>
      <w:proofErr w:type="spellEnd"/>
      <w:r w:rsidRPr="00156B4B">
        <w:rPr>
          <w:spacing w:val="-2"/>
          <w:sz w:val="28"/>
          <w:szCs w:val="28"/>
        </w:rPr>
        <w:t>), поименованного в свойствах данных документов как «</w:t>
      </w:r>
      <w:proofErr w:type="spellStart"/>
      <w:r w:rsidRPr="00156B4B">
        <w:rPr>
          <w:spacing w:val="-2"/>
          <w:sz w:val="28"/>
          <w:szCs w:val="28"/>
        </w:rPr>
        <w:t>pharma_t</w:t>
      </w:r>
      <w:proofErr w:type="spellEnd"/>
      <w:r w:rsidRPr="00156B4B">
        <w:rPr>
          <w:spacing w:val="-2"/>
          <w:sz w:val="28"/>
          <w:szCs w:val="28"/>
        </w:rPr>
        <w:t xml:space="preserve">» либо «Дмитрий» свидетельствует о совместной подготовке </w:t>
      </w:r>
      <w:r w:rsidRPr="00156B4B">
        <w:rPr>
          <w:bCs/>
          <w:iCs/>
          <w:spacing w:val="-2"/>
          <w:sz w:val="28"/>
          <w:szCs w:val="28"/>
        </w:rPr>
        <w:t>ООО «ФАРГО» и АО «</w:t>
      </w:r>
      <w:proofErr w:type="spellStart"/>
      <w:r w:rsidRPr="00156B4B">
        <w:rPr>
          <w:bCs/>
          <w:iCs/>
          <w:spacing w:val="-2"/>
          <w:sz w:val="28"/>
          <w:szCs w:val="28"/>
        </w:rPr>
        <w:t>Фармакон</w:t>
      </w:r>
      <w:proofErr w:type="spellEnd"/>
      <w:r w:rsidRPr="00156B4B">
        <w:rPr>
          <w:bCs/>
          <w:iCs/>
          <w:spacing w:val="-2"/>
          <w:sz w:val="28"/>
          <w:szCs w:val="28"/>
        </w:rPr>
        <w:t>»</w:t>
      </w:r>
      <w:r w:rsidRPr="00156B4B">
        <w:rPr>
          <w:spacing w:val="-2"/>
          <w:sz w:val="28"/>
          <w:szCs w:val="28"/>
        </w:rPr>
        <w:t xml:space="preserve"> к участию в Аукционах.</w:t>
      </w:r>
    </w:p>
    <w:p w:rsidR="00710E35" w:rsidRPr="00156B4B" w:rsidRDefault="00710E35" w:rsidP="00815710">
      <w:pPr>
        <w:pStyle w:val="a4"/>
        <w:spacing w:before="0" w:beforeAutospacing="0" w:after="0" w:afterAutospacing="0"/>
        <w:ind w:firstLine="567"/>
        <w:jc w:val="both"/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</w:pPr>
      <w:r w:rsidRPr="00156B4B"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  <w:t xml:space="preserve">Использование самостоятельными субъектами гражданского оборота единой инфраструктуры и совместная подготовка к торгам возможны только в случае кооперации и консолидации, при этом такие действия осуществляются для достижения единой для участников таких кооперации и консолидации цели. Однако коммерческие организации в аналогичных условиях, конкурируя между </w:t>
      </w:r>
      <w:proofErr w:type="gramStart"/>
      <w:r w:rsidRPr="00156B4B"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  <w:t>собой</w:t>
      </w:r>
      <w:proofErr w:type="gramEnd"/>
      <w:r w:rsidRPr="00156B4B"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  <w:t xml:space="preserve"> не действуют в интересах друг друга. Следовательно, такие действия со сторон</w:t>
      </w:r>
      <w:proofErr w:type="gramStart"/>
      <w:r w:rsidRPr="00156B4B"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  <w:t xml:space="preserve">ы  </w:t>
      </w:r>
      <w:r w:rsidRPr="00156B4B">
        <w:rPr>
          <w:sz w:val="28"/>
          <w:szCs w:val="28"/>
        </w:rPr>
        <w:t>ООО</w:t>
      </w:r>
      <w:proofErr w:type="gramEnd"/>
      <w:r w:rsidRPr="00156B4B">
        <w:rPr>
          <w:sz w:val="28"/>
          <w:szCs w:val="28"/>
        </w:rPr>
        <w:t xml:space="preserve"> «ФАРГО» и АО «</w:t>
      </w:r>
      <w:proofErr w:type="spellStart"/>
      <w:r w:rsidRPr="00156B4B">
        <w:rPr>
          <w:sz w:val="28"/>
          <w:szCs w:val="28"/>
        </w:rPr>
        <w:t>Фармакон</w:t>
      </w:r>
      <w:proofErr w:type="spellEnd"/>
      <w:r w:rsidRPr="00156B4B">
        <w:rPr>
          <w:sz w:val="28"/>
          <w:szCs w:val="28"/>
        </w:rPr>
        <w:t>»</w:t>
      </w:r>
      <w:r w:rsidRPr="00156B4B">
        <w:rPr>
          <w:rStyle w:val="2"/>
          <w:rFonts w:eastAsia="TimesNewRomanPSMT"/>
          <w:color w:val="000000"/>
          <w:sz w:val="28"/>
          <w:szCs w:val="28"/>
          <w:shd w:val="clear" w:color="auto" w:fill="FFFFFF"/>
        </w:rPr>
        <w:t xml:space="preserve"> возможны исключительно в ходе реализации договоренностей.</w:t>
      </w:r>
    </w:p>
    <w:p w:rsidR="00710E35" w:rsidRPr="00156B4B" w:rsidRDefault="00710E35" w:rsidP="00815710">
      <w:pPr>
        <w:pStyle w:val="a4"/>
        <w:spacing w:before="0" w:beforeAutospacing="0" w:after="0" w:afterAutospacing="0"/>
        <w:ind w:firstLine="567"/>
        <w:jc w:val="both"/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О наличии использования </w:t>
      </w:r>
      <w:r w:rsidRPr="00156B4B">
        <w:rPr>
          <w:spacing w:val="-2"/>
          <w:sz w:val="28"/>
          <w:szCs w:val="28"/>
        </w:rPr>
        <w:t>ООО «ФАРГО» и АО «</w:t>
      </w:r>
      <w:proofErr w:type="spellStart"/>
      <w:r w:rsidRPr="00156B4B">
        <w:rPr>
          <w:spacing w:val="-2"/>
          <w:sz w:val="28"/>
          <w:szCs w:val="28"/>
        </w:rPr>
        <w:t>Фармакон</w:t>
      </w:r>
      <w:proofErr w:type="spellEnd"/>
      <w:r w:rsidRPr="00156B4B">
        <w:rPr>
          <w:spacing w:val="-2"/>
          <w:sz w:val="28"/>
          <w:szCs w:val="28"/>
        </w:rPr>
        <w:t xml:space="preserve">» единой инфраструктуры свидетельствуют также следующие факты: </w:t>
      </w: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при оформлении в период </w:t>
      </w: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  <w:lang w:val="en-US"/>
        </w:rPr>
        <w:t>c</w:t>
      </w: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 2011 по 2015 годы (включительно) ключей цифровой подписи в удостоверяющих центрах ООО «СЕРТУМ-ПРО» и ЗАО «Производственная фирма «СКБ Контур» </w:t>
      </w:r>
      <w:proofErr w:type="spellStart"/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>Федорушин</w:t>
      </w:r>
      <w:proofErr w:type="spellEnd"/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 Д.И. (руководитель ООО «ФАРГО») и Ильичев С.П. (руководитель  АО «</w:t>
      </w:r>
      <w:proofErr w:type="spellStart"/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>Фармакон</w:t>
      </w:r>
      <w:proofErr w:type="spellEnd"/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>») указывали для связи один адрес электронной почты</w:t>
      </w:r>
      <w:r w:rsidR="00815710"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>.</w:t>
      </w: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End"/>
    </w:p>
    <w:p w:rsidR="00815710" w:rsidRPr="00156B4B" w:rsidRDefault="00815710" w:rsidP="00815710">
      <w:pPr>
        <w:pStyle w:val="a4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Кроме того, в рассматриваемый период </w:t>
      </w:r>
      <w:r w:rsidRPr="00156B4B">
        <w:rPr>
          <w:spacing w:val="-6"/>
          <w:sz w:val="28"/>
          <w:szCs w:val="28"/>
        </w:rPr>
        <w:t>АО «</w:t>
      </w:r>
      <w:proofErr w:type="spellStart"/>
      <w:r w:rsidRPr="00156B4B">
        <w:rPr>
          <w:spacing w:val="-6"/>
          <w:sz w:val="28"/>
          <w:szCs w:val="28"/>
        </w:rPr>
        <w:t>Фармакон</w:t>
      </w:r>
      <w:proofErr w:type="spellEnd"/>
      <w:r w:rsidRPr="00156B4B">
        <w:rPr>
          <w:spacing w:val="-6"/>
          <w:sz w:val="28"/>
          <w:szCs w:val="28"/>
        </w:rPr>
        <w:t>» закупал</w:t>
      </w:r>
      <w:proofErr w:type="gramStart"/>
      <w:r w:rsidRPr="00156B4B">
        <w:rPr>
          <w:spacing w:val="-6"/>
          <w:sz w:val="28"/>
          <w:szCs w:val="28"/>
        </w:rPr>
        <w:t>о у ООО</w:t>
      </w:r>
      <w:proofErr w:type="gramEnd"/>
      <w:r w:rsidRPr="00156B4B">
        <w:rPr>
          <w:spacing w:val="-6"/>
          <w:sz w:val="28"/>
          <w:szCs w:val="28"/>
        </w:rPr>
        <w:t xml:space="preserve"> «ФАРГО» лекарственные средства и медицинские изделия, т.е. ООО «ФАРГО» являлось для АО «</w:t>
      </w:r>
      <w:proofErr w:type="spellStart"/>
      <w:r w:rsidRPr="00156B4B">
        <w:rPr>
          <w:spacing w:val="-6"/>
          <w:sz w:val="28"/>
          <w:szCs w:val="28"/>
        </w:rPr>
        <w:t>Фармакон</w:t>
      </w:r>
      <w:proofErr w:type="spellEnd"/>
      <w:r w:rsidRPr="00156B4B">
        <w:rPr>
          <w:spacing w:val="-6"/>
          <w:sz w:val="28"/>
          <w:szCs w:val="28"/>
        </w:rPr>
        <w:t>» поставщиком указанных товаров.</w:t>
      </w:r>
    </w:p>
    <w:p w:rsidR="00815710" w:rsidRPr="00156B4B" w:rsidRDefault="00815710" w:rsidP="00815710">
      <w:pPr>
        <w:pStyle w:val="1"/>
        <w:ind w:firstLine="567"/>
        <w:jc w:val="both"/>
        <w:rPr>
          <w:rFonts w:cs="Times New Roman"/>
          <w:spacing w:val="-6"/>
          <w:kern w:val="0"/>
          <w:sz w:val="28"/>
          <w:szCs w:val="28"/>
        </w:rPr>
      </w:pPr>
      <w:r w:rsidRPr="00156B4B">
        <w:rPr>
          <w:rFonts w:cs="Times New Roman"/>
          <w:spacing w:val="-6"/>
          <w:kern w:val="0"/>
          <w:sz w:val="28"/>
          <w:szCs w:val="28"/>
        </w:rPr>
        <w:t>Следовательно, в рассматриваемый период межд</w:t>
      </w:r>
      <w:proofErr w:type="gramStart"/>
      <w:r w:rsidRPr="00156B4B">
        <w:rPr>
          <w:rFonts w:cs="Times New Roman"/>
          <w:spacing w:val="-6"/>
          <w:kern w:val="0"/>
          <w:sz w:val="28"/>
          <w:szCs w:val="28"/>
        </w:rPr>
        <w:t>у ООО</w:t>
      </w:r>
      <w:proofErr w:type="gramEnd"/>
      <w:r w:rsidRPr="00156B4B">
        <w:rPr>
          <w:rFonts w:cs="Times New Roman"/>
          <w:spacing w:val="-6"/>
          <w:kern w:val="0"/>
          <w:sz w:val="28"/>
          <w:szCs w:val="28"/>
        </w:rPr>
        <w:t xml:space="preserve"> «ФАРГО» и АО </w:t>
      </w:r>
      <w:r w:rsidRPr="00156B4B">
        <w:rPr>
          <w:rFonts w:cs="Times New Roman"/>
          <w:spacing w:val="-6"/>
          <w:kern w:val="0"/>
          <w:sz w:val="28"/>
          <w:szCs w:val="28"/>
        </w:rPr>
        <w:lastRenderedPageBreak/>
        <w:t>«</w:t>
      </w:r>
      <w:proofErr w:type="spellStart"/>
      <w:r w:rsidRPr="00156B4B">
        <w:rPr>
          <w:rFonts w:cs="Times New Roman"/>
          <w:spacing w:val="-6"/>
          <w:kern w:val="0"/>
          <w:sz w:val="28"/>
          <w:szCs w:val="28"/>
        </w:rPr>
        <w:t>Фармакон</w:t>
      </w:r>
      <w:proofErr w:type="spellEnd"/>
      <w:r w:rsidRPr="00156B4B">
        <w:rPr>
          <w:rFonts w:cs="Times New Roman"/>
          <w:spacing w:val="-6"/>
          <w:kern w:val="0"/>
          <w:sz w:val="28"/>
          <w:szCs w:val="28"/>
        </w:rPr>
        <w:t>» имела место тесная и устойчивая связь, что исключает возможность реальной конкурентной борьбы между данными хозяйствующими субъектами на Аукционах.</w:t>
      </w:r>
    </w:p>
    <w:p w:rsidR="00710E35" w:rsidRPr="00156B4B" w:rsidRDefault="00815710" w:rsidP="008157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4B">
        <w:rPr>
          <w:rStyle w:val="2"/>
          <w:rFonts w:eastAsia="TimesNewRomanPSMT"/>
          <w:color w:val="000000"/>
          <w:spacing w:val="-2"/>
          <w:sz w:val="28"/>
          <w:szCs w:val="28"/>
          <w:shd w:val="clear" w:color="auto" w:fill="FFFFFF"/>
        </w:rPr>
        <w:t xml:space="preserve">В рамках рассмотрения данного дела был </w:t>
      </w:r>
      <w:r w:rsidRPr="00156B4B">
        <w:rPr>
          <w:rStyle w:val="10"/>
          <w:rFonts w:eastAsia="TimesNewRomanPSMT"/>
          <w:color w:val="000000"/>
          <w:sz w:val="28"/>
          <w:szCs w:val="28"/>
        </w:rPr>
        <w:t>подготовлен аналитический отчет по результатам исследования состояния конкуренции на Аукционах</w:t>
      </w:r>
      <w:r w:rsidR="00710E35" w:rsidRPr="00156B4B">
        <w:rPr>
          <w:sz w:val="28"/>
          <w:szCs w:val="28"/>
        </w:rPr>
        <w:t>, в ходе которого установлено, чт</w:t>
      </w:r>
      <w:proofErr w:type="gramStart"/>
      <w:r w:rsidR="00710E35" w:rsidRPr="00156B4B">
        <w:rPr>
          <w:sz w:val="28"/>
          <w:szCs w:val="28"/>
        </w:rPr>
        <w:t>о ООО</w:t>
      </w:r>
      <w:proofErr w:type="gramEnd"/>
      <w:r w:rsidR="00710E35" w:rsidRPr="00156B4B">
        <w:rPr>
          <w:sz w:val="28"/>
          <w:szCs w:val="28"/>
        </w:rPr>
        <w:t xml:space="preserve"> «ФАРГО» и АО «</w:t>
      </w:r>
      <w:proofErr w:type="spellStart"/>
      <w:r w:rsidR="00710E35" w:rsidRPr="00156B4B">
        <w:rPr>
          <w:sz w:val="28"/>
          <w:szCs w:val="28"/>
        </w:rPr>
        <w:t>Фармакон</w:t>
      </w:r>
      <w:proofErr w:type="spellEnd"/>
      <w:r w:rsidR="00710E35" w:rsidRPr="00156B4B">
        <w:rPr>
          <w:sz w:val="28"/>
          <w:szCs w:val="28"/>
        </w:rPr>
        <w:t xml:space="preserve">» являлись друг другу хозяйствующими субъектами - конкурентами при </w:t>
      </w:r>
      <w:r w:rsidR="0094003E">
        <w:rPr>
          <w:sz w:val="28"/>
          <w:szCs w:val="28"/>
        </w:rPr>
        <w:t>участии в Аукционах</w:t>
      </w:r>
      <w:r w:rsidR="00710E35" w:rsidRPr="00156B4B">
        <w:rPr>
          <w:sz w:val="28"/>
          <w:szCs w:val="28"/>
        </w:rPr>
        <w:t>.</w:t>
      </w:r>
    </w:p>
    <w:p w:rsidR="00710E35" w:rsidRPr="00156B4B" w:rsidRDefault="00710E35" w:rsidP="00815710">
      <w:pPr>
        <w:pStyle w:val="a8"/>
        <w:spacing w:after="0"/>
        <w:ind w:firstLine="567"/>
        <w:jc w:val="both"/>
        <w:rPr>
          <w:rStyle w:val="2"/>
          <w:color w:val="000000"/>
          <w:sz w:val="28"/>
          <w:szCs w:val="28"/>
          <w:shd w:val="clear" w:color="auto" w:fill="FFFFFF"/>
        </w:rPr>
      </w:pPr>
      <w:r w:rsidRPr="00156B4B">
        <w:rPr>
          <w:rStyle w:val="2"/>
          <w:color w:val="000000"/>
          <w:sz w:val="28"/>
          <w:szCs w:val="28"/>
          <w:shd w:val="clear" w:color="auto" w:fill="FFFFFF"/>
        </w:rPr>
        <w:t xml:space="preserve">Так участники Аукционов осуществляли деятельность по реализации </w:t>
      </w:r>
      <w:r w:rsidRPr="00156B4B">
        <w:rPr>
          <w:sz w:val="28"/>
          <w:szCs w:val="28"/>
        </w:rPr>
        <w:t>лекарственных средств, медикаментов и медицинских изделий</w:t>
      </w:r>
      <w:r w:rsidRPr="00156B4B">
        <w:rPr>
          <w:rStyle w:val="2"/>
          <w:color w:val="000000"/>
          <w:sz w:val="28"/>
          <w:szCs w:val="28"/>
          <w:shd w:val="clear" w:color="auto" w:fill="FFFFFF"/>
        </w:rPr>
        <w:t xml:space="preserve"> при наличии у каждого из Ответчиков лицензий на осуществление фармацевтической деятельности.</w:t>
      </w:r>
    </w:p>
    <w:p w:rsidR="00156B4B" w:rsidRP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pacing w:val="2"/>
          <w:sz w:val="28"/>
          <w:szCs w:val="28"/>
        </w:rPr>
      </w:pP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 xml:space="preserve">Учитывая совокупность всех имеющихся доказательств, в частности: </w:t>
      </w:r>
    </w:p>
    <w:p w:rsidR="00156B4B" w:rsidRP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pacing w:val="2"/>
          <w:sz w:val="28"/>
          <w:szCs w:val="28"/>
        </w:rPr>
      </w:pP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>- совместную подготовку Ответчиками заявок на участие в Аукционах;</w:t>
      </w:r>
    </w:p>
    <w:p w:rsidR="00156B4B" w:rsidRP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pacing w:val="2"/>
          <w:sz w:val="28"/>
          <w:szCs w:val="28"/>
        </w:rPr>
      </w:pP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 xml:space="preserve">- подачу заявок и ценовых предложений при участии в Аукционах с одних IP-адресов; </w:t>
      </w:r>
    </w:p>
    <w:p w:rsidR="00156B4B" w:rsidRP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pacing w:val="2"/>
          <w:sz w:val="28"/>
          <w:szCs w:val="28"/>
        </w:rPr>
      </w:pP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 xml:space="preserve">- использование единой инфраструктуры при подготовке и участии в Аукционах; </w:t>
      </w:r>
    </w:p>
    <w:p w:rsidR="00156B4B" w:rsidRP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>- использование Ответчиками определённой модели поведения на торгах при проведен</w:t>
      </w:r>
      <w:proofErr w:type="gramStart"/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>кционов</w:t>
      </w:r>
      <w:r w:rsidRPr="00156B4B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156B4B" w:rsidRDefault="00156B4B" w:rsidP="00156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56B4B">
        <w:rPr>
          <w:rFonts w:ascii="Times New Roman" w:hAnsi="Times New Roman" w:cs="Times New Roman"/>
          <w:spacing w:val="2"/>
          <w:sz w:val="28"/>
          <w:szCs w:val="28"/>
        </w:rPr>
        <w:t xml:space="preserve">- наличие тесных и устойчивых связей между Ответчиками, в том числе тот факт, Кемеровское УФАС России </w:t>
      </w:r>
      <w:r w:rsidR="000704A0">
        <w:rPr>
          <w:rStyle w:val="10"/>
          <w:rFonts w:ascii="Times New Roman" w:hAnsi="Times New Roman" w:cs="Times New Roman"/>
          <w:spacing w:val="2"/>
          <w:sz w:val="28"/>
          <w:szCs w:val="28"/>
        </w:rPr>
        <w:t>приш</w:t>
      </w:r>
      <w:r w:rsidRPr="00156B4B">
        <w:rPr>
          <w:rStyle w:val="10"/>
          <w:rFonts w:ascii="Times New Roman" w:hAnsi="Times New Roman" w:cs="Times New Roman"/>
          <w:spacing w:val="2"/>
          <w:sz w:val="28"/>
          <w:szCs w:val="28"/>
        </w:rPr>
        <w:t xml:space="preserve">ло к выводу о наличии между </w:t>
      </w:r>
      <w:r w:rsidRPr="00156B4B">
        <w:rPr>
          <w:rFonts w:ascii="Times New Roman" w:hAnsi="Times New Roman" w:cs="Times New Roman"/>
          <w:spacing w:val="2"/>
          <w:sz w:val="28"/>
          <w:szCs w:val="28"/>
        </w:rPr>
        <w:t>ООО «ФАРГО» и АО «</w:t>
      </w:r>
      <w:proofErr w:type="spellStart"/>
      <w:r w:rsidRPr="00156B4B">
        <w:rPr>
          <w:rFonts w:ascii="Times New Roman" w:hAnsi="Times New Roman" w:cs="Times New Roman"/>
          <w:spacing w:val="2"/>
          <w:sz w:val="28"/>
          <w:szCs w:val="28"/>
        </w:rPr>
        <w:t>Фармакон</w:t>
      </w:r>
      <w:proofErr w:type="spellEnd"/>
      <w:r w:rsidRPr="00156B4B">
        <w:rPr>
          <w:rFonts w:ascii="Times New Roman" w:hAnsi="Times New Roman" w:cs="Times New Roman"/>
          <w:spacing w:val="2"/>
          <w:sz w:val="28"/>
          <w:szCs w:val="28"/>
        </w:rPr>
        <w:t xml:space="preserve">» соглашения, заключенного данными хозяйствующими субъектами в устной форме, с целью поддержания цен на Аукционах, что противоречит требованиям пункта 2 части 1 статьи 11 ФЗ </w:t>
      </w:r>
      <w:r w:rsidR="00112D0B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156B4B">
        <w:rPr>
          <w:rFonts w:ascii="Times New Roman" w:hAnsi="Times New Roman" w:cs="Times New Roman"/>
          <w:spacing w:val="2"/>
          <w:sz w:val="28"/>
          <w:szCs w:val="28"/>
        </w:rPr>
        <w:t>№ 135-ФЗ.</w:t>
      </w:r>
      <w:proofErr w:type="gramEnd"/>
    </w:p>
    <w:p w:rsidR="00112D0B" w:rsidRDefault="00112D0B" w:rsidP="00112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настоящее время в отношен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ии </w:t>
      </w:r>
      <w:r w:rsidRPr="00112D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12D0B">
        <w:rPr>
          <w:rFonts w:ascii="Times New Roman" w:hAnsi="Times New Roman" w:cs="Times New Roman"/>
          <w:sz w:val="28"/>
          <w:szCs w:val="28"/>
        </w:rPr>
        <w:t xml:space="preserve"> «ФАРГО» и АО «</w:t>
      </w:r>
      <w:proofErr w:type="spellStart"/>
      <w:r w:rsidRPr="00112D0B">
        <w:rPr>
          <w:rFonts w:ascii="Times New Roman" w:hAnsi="Times New Roman" w:cs="Times New Roman"/>
          <w:sz w:val="28"/>
          <w:szCs w:val="28"/>
        </w:rPr>
        <w:t>Фармакон</w:t>
      </w:r>
      <w:proofErr w:type="spellEnd"/>
      <w:r w:rsidRPr="00112D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возбуждены дела по признакам совершения правонарушения, ответственность за совершение, которого предусмотрена частью 2 статьи 14.32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112D0B" w:rsidRPr="00844D1A" w:rsidRDefault="00112D0B" w:rsidP="00844D1A">
      <w:pPr>
        <w:pStyle w:val="a8"/>
        <w:spacing w:after="0"/>
        <w:ind w:firstLine="567"/>
        <w:jc w:val="both"/>
        <w:rPr>
          <w:sz w:val="28"/>
          <w:szCs w:val="28"/>
        </w:rPr>
      </w:pPr>
      <w:r w:rsidRPr="00844D1A">
        <w:rPr>
          <w:rStyle w:val="2"/>
          <w:color w:val="000000"/>
          <w:sz w:val="28"/>
          <w:szCs w:val="28"/>
          <w:shd w:val="clear" w:color="auto" w:fill="FFFFFF"/>
        </w:rPr>
        <w:t>Данны</w:t>
      </w:r>
      <w:r w:rsidR="00844D1A" w:rsidRPr="00844D1A">
        <w:rPr>
          <w:rStyle w:val="2"/>
          <w:color w:val="000000"/>
          <w:sz w:val="28"/>
          <w:szCs w:val="28"/>
          <w:shd w:val="clear" w:color="auto" w:fill="FFFFFF"/>
        </w:rPr>
        <w:t>м</w:t>
      </w:r>
      <w:r w:rsidRPr="00844D1A">
        <w:rPr>
          <w:rStyle w:val="2"/>
          <w:color w:val="000000"/>
          <w:sz w:val="28"/>
          <w:szCs w:val="28"/>
          <w:shd w:val="clear" w:color="auto" w:fill="FFFFFF"/>
        </w:rPr>
        <w:t xml:space="preserve"> юридическим лицам </w:t>
      </w:r>
      <w:r w:rsidR="00844D1A" w:rsidRPr="00844D1A">
        <w:rPr>
          <w:rStyle w:val="2"/>
          <w:color w:val="000000"/>
          <w:sz w:val="28"/>
          <w:szCs w:val="28"/>
          <w:shd w:val="clear" w:color="auto" w:fill="FFFFFF"/>
        </w:rPr>
        <w:t xml:space="preserve">будет назначено административное наказание в виде штрафа, в размере </w:t>
      </w:r>
      <w:r w:rsidRPr="00844D1A">
        <w:rPr>
          <w:sz w:val="28"/>
          <w:szCs w:val="28"/>
        </w:rPr>
        <w:t>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524264" w:rsidRDefault="00366374" w:rsidP="00815710">
      <w:pPr>
        <w:pStyle w:val="a8"/>
        <w:spacing w:after="0"/>
        <w:ind w:firstLine="567"/>
        <w:jc w:val="both"/>
        <w:rPr>
          <w:rStyle w:val="2"/>
          <w:color w:val="000000"/>
          <w:sz w:val="28"/>
          <w:szCs w:val="28"/>
          <w:shd w:val="clear" w:color="auto" w:fill="FFFFFF"/>
        </w:rPr>
      </w:pPr>
      <w:r w:rsidRPr="00366374">
        <w:rPr>
          <w:rStyle w:val="2"/>
          <w:color w:val="000000"/>
          <w:sz w:val="28"/>
          <w:szCs w:val="28"/>
          <w:shd w:val="clear" w:color="auto" w:fill="FFFFFF"/>
        </w:rPr>
        <w:t xml:space="preserve">При этом надо отметить, что привлечение юридического лица к административной ответственности </w:t>
      </w:r>
      <w:r>
        <w:rPr>
          <w:rStyle w:val="2"/>
          <w:color w:val="000000"/>
          <w:sz w:val="28"/>
          <w:szCs w:val="28"/>
          <w:shd w:val="clear" w:color="auto" w:fill="FFFFFF"/>
        </w:rPr>
        <w:t>за вышеуказанное нарушение не освобождает</w:t>
      </w:r>
      <w:r w:rsidR="004D4094">
        <w:rPr>
          <w:rStyle w:val="2"/>
          <w:color w:val="000000"/>
          <w:sz w:val="28"/>
          <w:szCs w:val="28"/>
          <w:shd w:val="clear" w:color="auto" w:fill="FFFFFF"/>
        </w:rPr>
        <w:t xml:space="preserve"> от ответственности</w:t>
      </w:r>
      <w:r>
        <w:rPr>
          <w:rStyle w:val="2"/>
          <w:color w:val="000000"/>
          <w:sz w:val="28"/>
          <w:szCs w:val="28"/>
          <w:shd w:val="clear" w:color="auto" w:fill="FFFFFF"/>
        </w:rPr>
        <w:t xml:space="preserve"> </w:t>
      </w:r>
      <w:r w:rsidR="004D4094">
        <w:rPr>
          <w:rStyle w:val="2"/>
          <w:color w:val="000000"/>
          <w:sz w:val="28"/>
          <w:szCs w:val="28"/>
          <w:shd w:val="clear" w:color="auto" w:fill="FFFFFF"/>
        </w:rPr>
        <w:t>должностных лиц</w:t>
      </w:r>
      <w:r w:rsidR="00524264">
        <w:rPr>
          <w:rStyle w:val="2"/>
          <w:color w:val="000000"/>
          <w:sz w:val="28"/>
          <w:szCs w:val="28"/>
          <w:shd w:val="clear" w:color="auto" w:fill="FFFFFF"/>
        </w:rPr>
        <w:t>.</w:t>
      </w:r>
    </w:p>
    <w:p w:rsidR="00156B4B" w:rsidRPr="00366374" w:rsidRDefault="00524264" w:rsidP="00815710">
      <w:pPr>
        <w:pStyle w:val="a8"/>
        <w:spacing w:after="0"/>
        <w:ind w:firstLine="567"/>
        <w:jc w:val="both"/>
        <w:rPr>
          <w:rStyle w:val="2"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  <w:shd w:val="clear" w:color="auto" w:fill="FFFFFF"/>
        </w:rPr>
        <w:t>В отношении директоров вышеназванных хозяйствующих субъектов так же будут возбуждены дела об административных нарушениях.</w:t>
      </w:r>
      <w:r w:rsidR="004D4094">
        <w:rPr>
          <w:rStyle w:val="2"/>
          <w:color w:val="000000"/>
          <w:sz w:val="28"/>
          <w:szCs w:val="28"/>
          <w:shd w:val="clear" w:color="auto" w:fill="FFFFFF"/>
        </w:rPr>
        <w:t xml:space="preserve"> </w:t>
      </w:r>
      <w:r w:rsidR="00366374" w:rsidRPr="00366374">
        <w:rPr>
          <w:rStyle w:val="2"/>
          <w:color w:val="000000"/>
          <w:sz w:val="28"/>
          <w:szCs w:val="28"/>
          <w:shd w:val="clear" w:color="auto" w:fill="FFFFFF"/>
        </w:rPr>
        <w:t xml:space="preserve"> </w:t>
      </w:r>
    </w:p>
    <w:p w:rsidR="00156B4B" w:rsidRDefault="00156B4B" w:rsidP="00815710">
      <w:pPr>
        <w:pStyle w:val="a8"/>
        <w:spacing w:after="0"/>
        <w:ind w:firstLine="567"/>
        <w:jc w:val="both"/>
        <w:rPr>
          <w:rStyle w:val="2"/>
          <w:color w:val="000000"/>
          <w:sz w:val="26"/>
          <w:szCs w:val="26"/>
          <w:shd w:val="clear" w:color="auto" w:fill="FFFFFF"/>
        </w:rPr>
      </w:pPr>
    </w:p>
    <w:p w:rsidR="00EE7D3D" w:rsidRDefault="00EE7D3D"/>
    <w:sectPr w:rsidR="00EE7D3D" w:rsidSect="00EE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CC47990"/>
    <w:multiLevelType w:val="hybridMultilevel"/>
    <w:tmpl w:val="B352FB38"/>
    <w:lvl w:ilvl="0" w:tplc="3424D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65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67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2D4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E1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0B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44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A68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A1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BC58BB"/>
    <w:multiLevelType w:val="hybridMultilevel"/>
    <w:tmpl w:val="92B22FFE"/>
    <w:lvl w:ilvl="0" w:tplc="83C23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08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A9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2A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A1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CD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26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2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85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F1"/>
    <w:rsid w:val="000704A0"/>
    <w:rsid w:val="00112D0B"/>
    <w:rsid w:val="001325D4"/>
    <w:rsid w:val="00156B4B"/>
    <w:rsid w:val="00162A2A"/>
    <w:rsid w:val="00164EE6"/>
    <w:rsid w:val="00246857"/>
    <w:rsid w:val="00261C00"/>
    <w:rsid w:val="002631BF"/>
    <w:rsid w:val="002B0096"/>
    <w:rsid w:val="003267A4"/>
    <w:rsid w:val="00366374"/>
    <w:rsid w:val="003B010F"/>
    <w:rsid w:val="004478E3"/>
    <w:rsid w:val="0047014A"/>
    <w:rsid w:val="004D4094"/>
    <w:rsid w:val="00524264"/>
    <w:rsid w:val="00567BB4"/>
    <w:rsid w:val="00590630"/>
    <w:rsid w:val="00626DFB"/>
    <w:rsid w:val="00691358"/>
    <w:rsid w:val="00710E35"/>
    <w:rsid w:val="00721699"/>
    <w:rsid w:val="0073306C"/>
    <w:rsid w:val="0075536D"/>
    <w:rsid w:val="00791B37"/>
    <w:rsid w:val="00815710"/>
    <w:rsid w:val="00844D1A"/>
    <w:rsid w:val="008B4748"/>
    <w:rsid w:val="0094003E"/>
    <w:rsid w:val="00A0711D"/>
    <w:rsid w:val="00AE183B"/>
    <w:rsid w:val="00BD6509"/>
    <w:rsid w:val="00BF1769"/>
    <w:rsid w:val="00C31197"/>
    <w:rsid w:val="00D5131E"/>
    <w:rsid w:val="00D735F1"/>
    <w:rsid w:val="00D77543"/>
    <w:rsid w:val="00DA3D8C"/>
    <w:rsid w:val="00EC52E5"/>
    <w:rsid w:val="00EE7D3D"/>
    <w:rsid w:val="00FC3225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35F1"/>
    <w:rPr>
      <w:i/>
      <w:iCs/>
    </w:rPr>
  </w:style>
  <w:style w:type="paragraph" w:styleId="a4">
    <w:name w:val="Normal (Web)"/>
    <w:basedOn w:val="a"/>
    <w:uiPriority w:val="99"/>
    <w:unhideWhenUsed/>
    <w:rsid w:val="00D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35F1"/>
    <w:rPr>
      <w:b/>
      <w:bCs/>
    </w:rPr>
  </w:style>
  <w:style w:type="paragraph" w:customStyle="1" w:styleId="1">
    <w:name w:val="Обычный1"/>
    <w:uiPriority w:val="99"/>
    <w:rsid w:val="00710E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2">
    <w:name w:val="Основной шрифт абзаца2"/>
    <w:rsid w:val="00710E35"/>
  </w:style>
  <w:style w:type="paragraph" w:styleId="a6">
    <w:name w:val="Body Text Indent"/>
    <w:basedOn w:val="a"/>
    <w:link w:val="a7"/>
    <w:uiPriority w:val="99"/>
    <w:rsid w:val="00710E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10E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1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1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to42_gileva</dc:creator>
  <cp:lastModifiedBy>Дрешер</cp:lastModifiedBy>
  <cp:revision>9</cp:revision>
  <cp:lastPrinted>2017-06-08T06:35:00Z</cp:lastPrinted>
  <dcterms:created xsi:type="dcterms:W3CDTF">2017-06-13T04:17:00Z</dcterms:created>
  <dcterms:modified xsi:type="dcterms:W3CDTF">2017-06-13T11:19:00Z</dcterms:modified>
</cp:coreProperties>
</file>